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7FC50" w14:textId="203DA85E" w:rsidR="000E5736" w:rsidRPr="000E5736" w:rsidRDefault="000E5736" w:rsidP="000E5736">
      <w:pPr>
        <w:tabs>
          <w:tab w:val="center" w:pos="4536"/>
          <w:tab w:val="right" w:pos="9072"/>
        </w:tabs>
        <w:spacing w:before="120" w:afterLines="0" w:after="0" w:line="260" w:lineRule="auto"/>
        <w:rPr>
          <w:rFonts w:ascii="Arial" w:hAnsi="Arial" w:cs="Arial"/>
          <w:b/>
          <w:i/>
          <w:iCs/>
          <w:kern w:val="0"/>
          <w:sz w:val="22"/>
          <w:szCs w:val="22"/>
          <w:lang w:eastAsia="en-US"/>
        </w:rPr>
      </w:pPr>
      <w:r w:rsidRPr="000E5736">
        <w:rPr>
          <w:rFonts w:ascii="Arial" w:hAnsi="Arial" w:cs="Arial"/>
          <w:b/>
          <w:i/>
          <w:iCs/>
          <w:kern w:val="0"/>
          <w:sz w:val="22"/>
          <w:szCs w:val="22"/>
          <w:lang w:eastAsia="en-US"/>
        </w:rPr>
        <w:t>3GPP TSG-RAN WG2 Meeting #130</w:t>
      </w:r>
      <w:r w:rsidRPr="000E5736">
        <w:rPr>
          <w:rFonts w:ascii="Arial" w:hAnsi="Arial" w:cs="Arial"/>
          <w:b/>
          <w:i/>
          <w:iCs/>
          <w:kern w:val="0"/>
          <w:sz w:val="22"/>
          <w:szCs w:val="22"/>
          <w:lang w:eastAsia="en-US"/>
        </w:rPr>
        <w:tab/>
      </w:r>
      <w:r w:rsidRPr="000E5736">
        <w:rPr>
          <w:rFonts w:ascii="Arial" w:hAnsi="Arial" w:cs="Arial"/>
          <w:b/>
          <w:i/>
          <w:iCs/>
          <w:kern w:val="0"/>
          <w:sz w:val="22"/>
          <w:szCs w:val="22"/>
          <w:lang w:eastAsia="en-US"/>
        </w:rPr>
        <w:tab/>
        <w:t>R2-2503975</w:t>
      </w:r>
    </w:p>
    <w:p w14:paraId="3BA8AD66" w14:textId="2DA76573" w:rsidR="00C444A6" w:rsidRDefault="000E5736" w:rsidP="000E5736">
      <w:pPr>
        <w:tabs>
          <w:tab w:val="center" w:pos="4536"/>
          <w:tab w:val="right" w:pos="9072"/>
        </w:tabs>
        <w:spacing w:before="120" w:afterLines="0" w:after="0" w:line="260" w:lineRule="auto"/>
        <w:rPr>
          <w:rFonts w:ascii="Arial" w:hAnsi="Arial" w:cs="Arial"/>
          <w:b/>
          <w:i/>
          <w:iCs/>
          <w:kern w:val="0"/>
          <w:sz w:val="22"/>
          <w:szCs w:val="22"/>
          <w:lang w:eastAsia="en-US"/>
        </w:rPr>
      </w:pPr>
      <w:proofErr w:type="spellStart"/>
      <w:proofErr w:type="gramStart"/>
      <w:r w:rsidRPr="000E5736">
        <w:rPr>
          <w:rFonts w:ascii="Arial" w:hAnsi="Arial" w:cs="Arial"/>
          <w:b/>
          <w:i/>
          <w:iCs/>
          <w:kern w:val="0"/>
          <w:sz w:val="22"/>
          <w:szCs w:val="22"/>
          <w:lang w:eastAsia="en-US"/>
        </w:rPr>
        <w:t>St.Julians</w:t>
      </w:r>
      <w:proofErr w:type="spellEnd"/>
      <w:proofErr w:type="gramEnd"/>
      <w:r w:rsidRPr="000E5736">
        <w:rPr>
          <w:rFonts w:ascii="Arial" w:hAnsi="Arial" w:cs="Arial"/>
          <w:b/>
          <w:i/>
          <w:iCs/>
          <w:kern w:val="0"/>
          <w:sz w:val="22"/>
          <w:szCs w:val="22"/>
          <w:lang w:eastAsia="en-US"/>
        </w:rPr>
        <w:t>, Malta, May 19 – 23, 2025</w:t>
      </w:r>
    </w:p>
    <w:p w14:paraId="1C5738BD" w14:textId="77777777" w:rsidR="000E5736" w:rsidRPr="000E5736" w:rsidRDefault="000E5736" w:rsidP="000E5736">
      <w:pPr>
        <w:pStyle w:val="BodyText"/>
        <w:spacing w:before="120"/>
        <w:rPr>
          <w:lang w:eastAsia="en-US"/>
        </w:rPr>
      </w:pPr>
    </w:p>
    <w:p w14:paraId="5110EF88" w14:textId="14A1D1E2" w:rsidR="00C444A6" w:rsidRDefault="00000000">
      <w:pPr>
        <w:tabs>
          <w:tab w:val="left" w:pos="1985"/>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r>
      <w:r w:rsidR="000E5736" w:rsidRPr="000E5736">
        <w:rPr>
          <w:rFonts w:ascii="Arial" w:hAnsi="Arial"/>
          <w:b/>
          <w:sz w:val="22"/>
          <w:szCs w:val="22"/>
        </w:rPr>
        <w:t>XR Rate control details</w:t>
      </w:r>
    </w:p>
    <w:p w14:paraId="11C20735" w14:textId="77777777" w:rsidR="00C444A6" w:rsidRDefault="0000000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14:paraId="5B9B24B7" w14:textId="77777777" w:rsidR="00C444A6" w:rsidRDefault="00000000">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w:t>
      </w:r>
      <w:r>
        <w:rPr>
          <w:rFonts w:ascii="Arial" w:hAnsi="Arial"/>
          <w:b/>
          <w:sz w:val="22"/>
          <w:szCs w:val="22"/>
        </w:rPr>
        <w:t>.</w:t>
      </w:r>
      <w:r>
        <w:rPr>
          <w:rFonts w:ascii="Arial" w:hAnsi="Arial" w:hint="eastAsia"/>
          <w:b/>
          <w:sz w:val="22"/>
          <w:szCs w:val="22"/>
        </w:rPr>
        <w:t>7</w:t>
      </w:r>
      <w:r>
        <w:rPr>
          <w:rFonts w:ascii="Arial" w:hAnsi="Arial"/>
          <w:b/>
          <w:sz w:val="22"/>
          <w:szCs w:val="22"/>
        </w:rPr>
        <w:t>.</w:t>
      </w:r>
      <w:r>
        <w:rPr>
          <w:rFonts w:ascii="Arial" w:hAnsi="Arial" w:hint="eastAsia"/>
          <w:b/>
          <w:sz w:val="22"/>
          <w:szCs w:val="22"/>
        </w:rPr>
        <w:t>6</w:t>
      </w:r>
    </w:p>
    <w:p w14:paraId="69DC5D9D" w14:textId="77777777" w:rsidR="00C444A6" w:rsidRDefault="0000000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460047C5" w14:textId="77777777" w:rsidR="00C444A6" w:rsidRDefault="00000000">
      <w:pPr>
        <w:pStyle w:val="Heading1"/>
        <w:spacing w:before="120" w:after="120"/>
        <w:ind w:left="0"/>
        <w:rPr>
          <w:rFonts w:eastAsia="SimSun"/>
        </w:rPr>
      </w:pPr>
      <w:r>
        <w:rPr>
          <w:rFonts w:eastAsia="SimSun" w:hint="eastAsia"/>
        </w:rPr>
        <w:t>Introduction</w:t>
      </w:r>
    </w:p>
    <w:p w14:paraId="3C7F2D5D" w14:textId="0747A498" w:rsidR="00C444A6" w:rsidRDefault="00F527F0">
      <w:pPr>
        <w:pStyle w:val="NormalWeb"/>
        <w:spacing w:before="120" w:beforeAutospacing="0" w:after="120" w:afterAutospacing="0" w:line="315" w:lineRule="atLeast"/>
      </w:pPr>
      <w:r>
        <w:rPr>
          <w:rFonts w:cs="Arial"/>
          <w:color w:val="000000"/>
          <w:sz w:val="21"/>
        </w:rPr>
        <w:t xml:space="preserve">At RAN2#129-bis it was agreed that the XR rate control mechanism uses the per QoS flow-based indication in the MAC CE. In this contribution we look at the remaining open issues for the rate control mechanism. </w:t>
      </w:r>
    </w:p>
    <w:p w14:paraId="75FC1C8D" w14:textId="77777777" w:rsidR="00C444A6" w:rsidRDefault="00C444A6">
      <w:pPr>
        <w:spacing w:before="120" w:after="120"/>
        <w:rPr>
          <w:b/>
          <w:bCs/>
        </w:rPr>
      </w:pPr>
    </w:p>
    <w:p w14:paraId="63E05045" w14:textId="77777777" w:rsidR="00C444A6" w:rsidRDefault="00000000">
      <w:pPr>
        <w:pStyle w:val="Heading1"/>
        <w:spacing w:before="120" w:after="120"/>
        <w:ind w:left="0"/>
        <w:rPr>
          <w:rFonts w:eastAsia="SimSun"/>
        </w:rPr>
      </w:pPr>
      <w:r>
        <w:rPr>
          <w:rFonts w:eastAsia="SimSun" w:hint="eastAsia"/>
        </w:rPr>
        <w:t>Discussion</w:t>
      </w:r>
    </w:p>
    <w:p w14:paraId="7B9D28C3" w14:textId="3314350F" w:rsidR="00F527F0" w:rsidRDefault="00F527F0" w:rsidP="00697125">
      <w:pPr>
        <w:spacing w:before="120" w:after="120"/>
      </w:pPr>
      <w:r>
        <w:t xml:space="preserve">RAN2 made the following agreements for XR rate control: </w:t>
      </w:r>
    </w:p>
    <w:tbl>
      <w:tblPr>
        <w:tblStyle w:val="TableGrid"/>
        <w:tblW w:w="0" w:type="auto"/>
        <w:tblLook w:val="04A0" w:firstRow="1" w:lastRow="0" w:firstColumn="1" w:lastColumn="0" w:noHBand="0" w:noVBand="1"/>
      </w:tblPr>
      <w:tblGrid>
        <w:gridCol w:w="9650"/>
      </w:tblGrid>
      <w:tr w:rsidR="00F527F0" w14:paraId="27A9B3E5" w14:textId="77777777" w:rsidTr="00F527F0">
        <w:tc>
          <w:tcPr>
            <w:tcW w:w="9650" w:type="dxa"/>
          </w:tcPr>
          <w:p w14:paraId="4BF5392E" w14:textId="77777777" w:rsidR="00F527F0" w:rsidRPr="00F527F0" w:rsidRDefault="00F527F0" w:rsidP="00F527F0">
            <w:pPr>
              <w:tabs>
                <w:tab w:val="left" w:pos="1622"/>
              </w:tabs>
              <w:spacing w:beforeLines="0" w:afterLines="0" w:after="0" w:line="240" w:lineRule="auto"/>
              <w:jc w:val="left"/>
              <w:rPr>
                <w:rFonts w:ascii="Arial" w:eastAsia="MS Mincho" w:hAnsi="Arial"/>
                <w:kern w:val="0"/>
                <w:sz w:val="20"/>
                <w:szCs w:val="24"/>
                <w:lang w:val="en-GB" w:eastAsia="en-GB"/>
              </w:rPr>
            </w:pPr>
            <w:r w:rsidRPr="00F527F0">
              <w:rPr>
                <w:rFonts w:ascii="Arial" w:eastAsia="MS Mincho" w:hAnsi="Arial"/>
                <w:kern w:val="0"/>
                <w:sz w:val="20"/>
                <w:szCs w:val="24"/>
                <w:lang w:val="en-GB" w:eastAsia="en-GB"/>
              </w:rPr>
              <w:t>Agreements on XR rate control</w:t>
            </w:r>
          </w:p>
          <w:p w14:paraId="199F6CBC" w14:textId="77777777" w:rsidR="00F527F0" w:rsidRPr="00F527F0" w:rsidRDefault="00F527F0" w:rsidP="00F527F0">
            <w:pPr>
              <w:numPr>
                <w:ilvl w:val="0"/>
                <w:numId w:val="10"/>
              </w:numPr>
              <w:tabs>
                <w:tab w:val="left" w:pos="1622"/>
              </w:tabs>
              <w:spacing w:beforeLines="0" w:afterLines="0" w:after="0" w:line="240" w:lineRule="auto"/>
              <w:jc w:val="left"/>
              <w:rPr>
                <w:rFonts w:ascii="Arial" w:eastAsia="MS Mincho" w:hAnsi="Arial"/>
                <w:kern w:val="0"/>
                <w:sz w:val="20"/>
                <w:szCs w:val="24"/>
                <w:lang w:val="en-GB" w:eastAsia="en-GB"/>
              </w:rPr>
            </w:pPr>
            <w:r w:rsidRPr="00F527F0">
              <w:rPr>
                <w:rFonts w:ascii="Arial" w:eastAsia="MS Mincho" w:hAnsi="Arial"/>
                <w:kern w:val="0"/>
                <w:sz w:val="20"/>
                <w:szCs w:val="24"/>
                <w:lang w:val="en-GB" w:eastAsia="en-GB"/>
              </w:rPr>
              <w:t>Bit rate in Rel-19 UL Rate Control MAC CE is a physical-layer bit rate.</w:t>
            </w:r>
          </w:p>
          <w:p w14:paraId="141B25AB" w14:textId="77777777" w:rsidR="00F527F0" w:rsidRPr="00F527F0" w:rsidRDefault="00F527F0" w:rsidP="00F527F0">
            <w:pPr>
              <w:numPr>
                <w:ilvl w:val="0"/>
                <w:numId w:val="10"/>
              </w:numPr>
              <w:tabs>
                <w:tab w:val="left" w:pos="1622"/>
              </w:tabs>
              <w:spacing w:beforeLines="0" w:afterLines="0" w:after="0" w:line="240" w:lineRule="auto"/>
              <w:jc w:val="left"/>
              <w:rPr>
                <w:rFonts w:ascii="Arial" w:eastAsia="MS Mincho" w:hAnsi="Arial"/>
                <w:kern w:val="0"/>
                <w:sz w:val="20"/>
                <w:szCs w:val="24"/>
                <w:lang w:val="en-GB" w:eastAsia="en-GB"/>
              </w:rPr>
            </w:pPr>
            <w:r w:rsidRPr="00F527F0">
              <w:rPr>
                <w:rFonts w:ascii="Arial" w:eastAsia="MS Mincho" w:hAnsi="Arial"/>
                <w:kern w:val="0"/>
                <w:sz w:val="20"/>
                <w:szCs w:val="24"/>
                <w:lang w:val="en-GB" w:eastAsia="en-GB"/>
              </w:rPr>
              <w:t xml:space="preserve">We specify a single table. </w:t>
            </w:r>
          </w:p>
          <w:p w14:paraId="7080BB87" w14:textId="77777777" w:rsidR="00F527F0" w:rsidRPr="00F527F0" w:rsidRDefault="00F527F0" w:rsidP="00F527F0">
            <w:pPr>
              <w:numPr>
                <w:ilvl w:val="0"/>
                <w:numId w:val="10"/>
              </w:numPr>
              <w:tabs>
                <w:tab w:val="left" w:pos="1622"/>
              </w:tabs>
              <w:spacing w:beforeLines="0" w:afterLines="0" w:after="0" w:line="240" w:lineRule="auto"/>
              <w:jc w:val="left"/>
              <w:rPr>
                <w:rFonts w:ascii="Arial" w:eastAsia="MS Mincho" w:hAnsi="Arial"/>
                <w:kern w:val="0"/>
                <w:sz w:val="20"/>
                <w:szCs w:val="24"/>
                <w:lang w:val="en-GB" w:eastAsia="en-GB"/>
              </w:rPr>
            </w:pPr>
            <w:r w:rsidRPr="00F527F0">
              <w:rPr>
                <w:rFonts w:ascii="Arial" w:eastAsia="MS Mincho" w:hAnsi="Arial"/>
                <w:kern w:val="0"/>
                <w:sz w:val="20"/>
                <w:szCs w:val="24"/>
                <w:lang w:val="en-GB" w:eastAsia="en-GB"/>
              </w:rPr>
              <w:t>As a starting point, we aim to have a table with 8 bits and exponential distribution and no multiplier. This can be subject to further agreements on MAC CE contents/design. Overhead will be considered.</w:t>
            </w:r>
          </w:p>
          <w:p w14:paraId="15A722E8" w14:textId="77777777" w:rsidR="00F527F0" w:rsidRPr="00F527F0" w:rsidRDefault="00F527F0" w:rsidP="00F527F0">
            <w:pPr>
              <w:numPr>
                <w:ilvl w:val="0"/>
                <w:numId w:val="10"/>
              </w:numPr>
              <w:tabs>
                <w:tab w:val="left" w:pos="1622"/>
              </w:tabs>
              <w:spacing w:beforeLines="0" w:afterLines="0" w:after="0" w:line="240" w:lineRule="auto"/>
              <w:jc w:val="left"/>
              <w:rPr>
                <w:rFonts w:ascii="Arial" w:eastAsia="MS Mincho" w:hAnsi="Arial"/>
                <w:kern w:val="0"/>
                <w:sz w:val="20"/>
                <w:szCs w:val="24"/>
                <w:lang w:val="en-GB" w:eastAsia="en-GB"/>
              </w:rPr>
            </w:pPr>
            <w:r w:rsidRPr="00F527F0">
              <w:rPr>
                <w:rFonts w:ascii="Arial" w:eastAsia="MS Mincho" w:hAnsi="Arial"/>
                <w:kern w:val="0"/>
                <w:sz w:val="20"/>
                <w:szCs w:val="24"/>
                <w:lang w:val="en-GB" w:eastAsia="en-GB"/>
              </w:rPr>
              <w:t xml:space="preserve">The working assumption is changed to agreements on rate query MAC CE. </w:t>
            </w:r>
          </w:p>
          <w:p w14:paraId="0B381624" w14:textId="77777777" w:rsidR="00F527F0" w:rsidRDefault="00F527F0" w:rsidP="00F527F0">
            <w:pPr>
              <w:numPr>
                <w:ilvl w:val="0"/>
                <w:numId w:val="10"/>
              </w:numPr>
              <w:tabs>
                <w:tab w:val="left" w:pos="1622"/>
              </w:tabs>
              <w:spacing w:beforeLines="0" w:afterLines="0" w:after="0" w:line="240" w:lineRule="auto"/>
              <w:jc w:val="left"/>
              <w:rPr>
                <w:rFonts w:ascii="Arial" w:eastAsia="MS Mincho" w:hAnsi="Arial"/>
                <w:kern w:val="0"/>
                <w:sz w:val="20"/>
                <w:szCs w:val="24"/>
                <w:lang w:val="en-GB" w:eastAsia="en-GB"/>
              </w:rPr>
            </w:pPr>
            <w:r w:rsidRPr="00F527F0">
              <w:rPr>
                <w:rFonts w:ascii="Arial" w:eastAsia="MS Mincho" w:hAnsi="Arial"/>
                <w:kern w:val="0"/>
                <w:sz w:val="20"/>
                <w:szCs w:val="24"/>
                <w:lang w:val="en-GB" w:eastAsia="en-GB"/>
              </w:rPr>
              <w:t>From RAN2 point of view per flow indication in MAC CE is preferred, but there are concerns on F1 impact which needs to be verified by RAN3, so RAN2 will go with per flow approach unless R3 has issues with this.</w:t>
            </w:r>
          </w:p>
          <w:p w14:paraId="2AA8C566" w14:textId="4E71C8AD" w:rsidR="00F527F0" w:rsidRPr="00F527F0" w:rsidRDefault="00F527F0" w:rsidP="00F527F0">
            <w:pPr>
              <w:pStyle w:val="BodyText"/>
              <w:numPr>
                <w:ilvl w:val="0"/>
                <w:numId w:val="10"/>
              </w:numPr>
              <w:spacing w:before="120"/>
            </w:pPr>
            <w:r w:rsidRPr="00F527F0">
              <w:rPr>
                <w:rFonts w:ascii="Arial" w:eastAsia="MS Mincho" w:hAnsi="Arial"/>
                <w:kern w:val="0"/>
                <w:sz w:val="20"/>
                <w:lang w:val="en-GB" w:eastAsia="en-GB"/>
              </w:rPr>
              <w:t>FFS how QFI is indicated, e.g. with DRB ID + QFI ID.</w:t>
            </w:r>
          </w:p>
        </w:tc>
      </w:tr>
    </w:tbl>
    <w:p w14:paraId="138D44FD" w14:textId="7D3B8D74" w:rsidR="0077033A" w:rsidRDefault="00D97876" w:rsidP="0055385F">
      <w:pPr>
        <w:pStyle w:val="BodyText"/>
        <w:spacing w:before="120"/>
        <w:rPr>
          <w:rFonts w:ascii="Times New Roman" w:hAnsi="Times New Roman"/>
          <w:szCs w:val="20"/>
        </w:rPr>
      </w:pPr>
      <w:r>
        <w:rPr>
          <w:rFonts w:ascii="Times New Roman" w:hAnsi="Times New Roman"/>
          <w:szCs w:val="20"/>
        </w:rPr>
        <w:t>Based on the above agreements, the main open issue is how to indicate the QoS</w:t>
      </w:r>
      <w:r w:rsidR="000E5736">
        <w:rPr>
          <w:rFonts w:ascii="Times New Roman" w:hAnsi="Times New Roman"/>
          <w:szCs w:val="20"/>
        </w:rPr>
        <w:t>-</w:t>
      </w:r>
      <w:r>
        <w:rPr>
          <w:rFonts w:ascii="Times New Roman" w:hAnsi="Times New Roman"/>
          <w:szCs w:val="20"/>
        </w:rPr>
        <w:t xml:space="preserve">flow based recommendation in the MAC CE. It should be noted that the QoS flows are identified by the QFI and a given QFI is unique within a PDU session. So, in order to uniquely identify the QoS flow mapped to a given DRB, the MAC CE should uniquely identify the QoS flow within a given PDU session. </w:t>
      </w:r>
    </w:p>
    <w:p w14:paraId="09C57CC0" w14:textId="1306B303" w:rsidR="00D97876" w:rsidRDefault="00D97876" w:rsidP="0055385F">
      <w:pPr>
        <w:pStyle w:val="BodyText"/>
        <w:spacing w:before="120"/>
        <w:rPr>
          <w:rFonts w:ascii="Times New Roman" w:hAnsi="Times New Roman"/>
          <w:szCs w:val="20"/>
        </w:rPr>
      </w:pPr>
      <w:r>
        <w:rPr>
          <w:rFonts w:ascii="Times New Roman" w:hAnsi="Times New Roman"/>
          <w:szCs w:val="20"/>
        </w:rPr>
        <w:t xml:space="preserve">There are multiple options to achieve this. </w:t>
      </w:r>
    </w:p>
    <w:p w14:paraId="185024FF" w14:textId="436CE154" w:rsidR="000E5736" w:rsidRDefault="00D97876" w:rsidP="0055385F">
      <w:pPr>
        <w:pStyle w:val="BodyText"/>
        <w:spacing w:before="120"/>
        <w:rPr>
          <w:rFonts w:ascii="Times New Roman" w:hAnsi="Times New Roman"/>
          <w:szCs w:val="20"/>
        </w:rPr>
      </w:pPr>
      <w:r w:rsidRPr="00012C20">
        <w:rPr>
          <w:rFonts w:ascii="Times New Roman" w:hAnsi="Times New Roman"/>
          <w:szCs w:val="20"/>
          <w:u w:val="single"/>
        </w:rPr>
        <w:t>Option 1: Indicate PDU session ID + QFI in the MAC CE</w:t>
      </w:r>
      <w:r w:rsidR="00012C20">
        <w:rPr>
          <w:rFonts w:ascii="Times New Roman" w:hAnsi="Times New Roman"/>
          <w:szCs w:val="20"/>
        </w:rPr>
        <w:t>:</w:t>
      </w:r>
      <w:r>
        <w:rPr>
          <w:rFonts w:ascii="Times New Roman" w:hAnsi="Times New Roman"/>
          <w:szCs w:val="20"/>
        </w:rPr>
        <w:t xml:space="preserve"> This will require a total of 14 bits (8 bits for PDU session ID and 6 bits for QFI)</w:t>
      </w:r>
      <w:r w:rsidR="004757D5">
        <w:rPr>
          <w:rFonts w:ascii="Times New Roman" w:hAnsi="Times New Roman"/>
          <w:szCs w:val="20"/>
        </w:rPr>
        <w:t xml:space="preserve"> + 8 bits for the recommended bit rate – i.e. total of 3 octets</w:t>
      </w:r>
      <w:r>
        <w:rPr>
          <w:rFonts w:ascii="Times New Roman" w:hAnsi="Times New Roman"/>
          <w:szCs w:val="20"/>
        </w:rPr>
        <w:t xml:space="preserve">. </w:t>
      </w:r>
    </w:p>
    <w:p w14:paraId="453C4953" w14:textId="68B489D0" w:rsidR="00D97876" w:rsidRDefault="00D97876" w:rsidP="0055385F">
      <w:pPr>
        <w:pStyle w:val="BodyText"/>
        <w:spacing w:before="120"/>
        <w:rPr>
          <w:rFonts w:ascii="Times New Roman" w:hAnsi="Times New Roman"/>
          <w:szCs w:val="20"/>
        </w:rPr>
      </w:pPr>
      <w:r w:rsidRPr="00012C20">
        <w:rPr>
          <w:rFonts w:ascii="Times New Roman" w:hAnsi="Times New Roman"/>
          <w:szCs w:val="20"/>
          <w:u w:val="single"/>
        </w:rPr>
        <w:t>Option 2: Indicate DRB ID + QFI in the MAC CE</w:t>
      </w:r>
      <w:r>
        <w:rPr>
          <w:rFonts w:ascii="Times New Roman" w:hAnsi="Times New Roman"/>
          <w:szCs w:val="20"/>
        </w:rPr>
        <w:t xml:space="preserve">: This will uniquely identify the QFI since packets from different PDU sessions are anyway mapped to different DRBs. This will require a total of </w:t>
      </w:r>
      <w:r w:rsidR="00803DFB">
        <w:rPr>
          <w:rFonts w:ascii="Times New Roman" w:hAnsi="Times New Roman"/>
          <w:szCs w:val="20"/>
        </w:rPr>
        <w:t>11 bits (</w:t>
      </w:r>
      <w:proofErr w:type="gramStart"/>
      <w:r w:rsidR="00803DFB">
        <w:rPr>
          <w:rFonts w:ascii="Times New Roman" w:hAnsi="Times New Roman"/>
          <w:szCs w:val="20"/>
        </w:rPr>
        <w:t>5 bit</w:t>
      </w:r>
      <w:proofErr w:type="gramEnd"/>
      <w:r w:rsidR="00803DFB">
        <w:rPr>
          <w:rFonts w:ascii="Times New Roman" w:hAnsi="Times New Roman"/>
          <w:szCs w:val="20"/>
        </w:rPr>
        <w:t xml:space="preserve"> DRB ID + </w:t>
      </w:r>
      <w:proofErr w:type="gramStart"/>
      <w:r w:rsidR="00803DFB">
        <w:rPr>
          <w:rFonts w:ascii="Times New Roman" w:hAnsi="Times New Roman"/>
          <w:szCs w:val="20"/>
        </w:rPr>
        <w:t>6 bit</w:t>
      </w:r>
      <w:proofErr w:type="gramEnd"/>
      <w:r w:rsidR="00803DFB">
        <w:rPr>
          <w:rFonts w:ascii="Times New Roman" w:hAnsi="Times New Roman"/>
          <w:szCs w:val="20"/>
        </w:rPr>
        <w:t xml:space="preserve"> QFI)</w:t>
      </w:r>
      <w:r w:rsidR="000E5736">
        <w:rPr>
          <w:rFonts w:ascii="Times New Roman" w:hAnsi="Times New Roman"/>
          <w:szCs w:val="20"/>
        </w:rPr>
        <w:t xml:space="preserve"> and needs a 3 </w:t>
      </w:r>
      <w:r w:rsidR="004757D5">
        <w:rPr>
          <w:rFonts w:ascii="Times New Roman" w:hAnsi="Times New Roman"/>
          <w:szCs w:val="20"/>
        </w:rPr>
        <w:t>octet</w:t>
      </w:r>
      <w:r w:rsidR="000E5736">
        <w:rPr>
          <w:rFonts w:ascii="Times New Roman" w:hAnsi="Times New Roman"/>
          <w:szCs w:val="20"/>
        </w:rPr>
        <w:t xml:space="preserve"> MAC CE payload – see below</w:t>
      </w:r>
      <w:r w:rsidR="00803DFB">
        <w:rPr>
          <w:rFonts w:ascii="Times New Roman" w:hAnsi="Times New Roman"/>
          <w:szCs w:val="20"/>
        </w:rPr>
        <w:t xml:space="preserve">. </w:t>
      </w:r>
    </w:p>
    <w:p w14:paraId="57369C53" w14:textId="0D5EECED" w:rsidR="000E5736" w:rsidRDefault="000E5736" w:rsidP="000E5736">
      <w:pPr>
        <w:pStyle w:val="BodyText"/>
        <w:spacing w:before="120"/>
        <w:jc w:val="center"/>
        <w:rPr>
          <w:rFonts w:ascii="Times New Roman" w:hAnsi="Times New Roman"/>
          <w:szCs w:val="20"/>
        </w:rPr>
      </w:pPr>
      <w:r w:rsidRPr="000E5736">
        <w:rPr>
          <w:noProof/>
        </w:rPr>
        <w:drawing>
          <wp:inline distT="0" distB="0" distL="0" distR="0" wp14:anchorId="4FB8F6C2" wp14:editId="2613CFBE">
            <wp:extent cx="2576327" cy="1104181"/>
            <wp:effectExtent l="0" t="0" r="0" b="1270"/>
            <wp:docPr id="1076680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7543" cy="1104702"/>
                    </a:xfrm>
                    <a:prstGeom prst="rect">
                      <a:avLst/>
                    </a:prstGeom>
                    <a:noFill/>
                    <a:ln>
                      <a:noFill/>
                    </a:ln>
                  </pic:spPr>
                </pic:pic>
              </a:graphicData>
            </a:graphic>
          </wp:inline>
        </w:drawing>
      </w:r>
    </w:p>
    <w:p w14:paraId="72F49758" w14:textId="6739B653" w:rsidR="00803DFB" w:rsidRDefault="00803DFB" w:rsidP="0055385F">
      <w:pPr>
        <w:pStyle w:val="BodyText"/>
        <w:spacing w:before="120"/>
        <w:rPr>
          <w:rFonts w:ascii="Times New Roman" w:hAnsi="Times New Roman"/>
          <w:szCs w:val="20"/>
        </w:rPr>
      </w:pPr>
      <w:r w:rsidRPr="00012C20">
        <w:rPr>
          <w:rFonts w:ascii="Times New Roman" w:hAnsi="Times New Roman"/>
          <w:szCs w:val="20"/>
          <w:u w:val="single"/>
        </w:rPr>
        <w:t>Option 3: Indicate just a QF</w:t>
      </w:r>
      <w:r w:rsidR="00012C20">
        <w:rPr>
          <w:rFonts w:ascii="Times New Roman" w:hAnsi="Times New Roman"/>
          <w:szCs w:val="20"/>
          <w:u w:val="single"/>
        </w:rPr>
        <w:t>I:</w:t>
      </w:r>
      <w:r>
        <w:rPr>
          <w:rFonts w:ascii="Times New Roman" w:hAnsi="Times New Roman"/>
          <w:szCs w:val="20"/>
        </w:rPr>
        <w:t xml:space="preserve"> This option assumes that at any given point in time, </w:t>
      </w:r>
      <w:r w:rsidRPr="004757D5">
        <w:rPr>
          <w:rFonts w:ascii="Times New Roman" w:hAnsi="Times New Roman"/>
          <w:szCs w:val="20"/>
        </w:rPr>
        <w:t>there is only one PDU session that has QoS flows that are subject to rate control</w:t>
      </w:r>
      <w:r>
        <w:rPr>
          <w:rFonts w:ascii="Times New Roman" w:hAnsi="Times New Roman"/>
          <w:szCs w:val="20"/>
        </w:rPr>
        <w:t xml:space="preserve">. RRC </w:t>
      </w:r>
      <w:proofErr w:type="spellStart"/>
      <w:r>
        <w:rPr>
          <w:rFonts w:ascii="Times New Roman" w:hAnsi="Times New Roman"/>
          <w:szCs w:val="20"/>
        </w:rPr>
        <w:t>signalling</w:t>
      </w:r>
      <w:proofErr w:type="spellEnd"/>
      <w:r>
        <w:rPr>
          <w:rFonts w:ascii="Times New Roman" w:hAnsi="Times New Roman"/>
          <w:szCs w:val="20"/>
        </w:rPr>
        <w:t xml:space="preserve"> should indicate which PDU session has QoS flows subject to rate control</w:t>
      </w:r>
      <w:r w:rsidR="004757D5">
        <w:rPr>
          <w:rFonts w:ascii="Times New Roman" w:hAnsi="Times New Roman"/>
          <w:szCs w:val="20"/>
        </w:rPr>
        <w:t xml:space="preserve"> (if there are more than 1 PDU sessions)</w:t>
      </w:r>
      <w:r>
        <w:rPr>
          <w:rFonts w:ascii="Times New Roman" w:hAnsi="Times New Roman"/>
          <w:szCs w:val="20"/>
        </w:rPr>
        <w:t xml:space="preserve">. This option requires just </w:t>
      </w:r>
      <w:proofErr w:type="gramStart"/>
      <w:r w:rsidR="004757D5">
        <w:rPr>
          <w:rFonts w:ascii="Times New Roman" w:hAnsi="Times New Roman"/>
          <w:szCs w:val="20"/>
        </w:rPr>
        <w:t>6 bit</w:t>
      </w:r>
      <w:proofErr w:type="gramEnd"/>
      <w:r w:rsidR="004757D5">
        <w:rPr>
          <w:rFonts w:ascii="Times New Roman" w:hAnsi="Times New Roman"/>
          <w:szCs w:val="20"/>
        </w:rPr>
        <w:t xml:space="preserve"> QFI to be indicated and hence a 2 octet MAC CE – see below</w:t>
      </w:r>
      <w:r>
        <w:rPr>
          <w:rFonts w:ascii="Times New Roman" w:hAnsi="Times New Roman"/>
          <w:szCs w:val="20"/>
        </w:rPr>
        <w:t xml:space="preserve">. </w:t>
      </w:r>
    </w:p>
    <w:p w14:paraId="021AD500" w14:textId="29CCA0EB" w:rsidR="000E5736" w:rsidRDefault="000E5736" w:rsidP="000E5736">
      <w:pPr>
        <w:pStyle w:val="BodyText"/>
        <w:spacing w:before="120"/>
        <w:jc w:val="center"/>
        <w:rPr>
          <w:rFonts w:ascii="Times New Roman" w:hAnsi="Times New Roman"/>
          <w:szCs w:val="20"/>
        </w:rPr>
      </w:pPr>
      <w:r w:rsidRPr="000E5736">
        <w:rPr>
          <w:noProof/>
        </w:rPr>
        <w:drawing>
          <wp:inline distT="0" distB="0" distL="0" distR="0" wp14:anchorId="4B76FCF0" wp14:editId="5A94C36A">
            <wp:extent cx="2567406" cy="861060"/>
            <wp:effectExtent l="0" t="0" r="4445" b="0"/>
            <wp:docPr id="14824548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6022" cy="877365"/>
                    </a:xfrm>
                    <a:prstGeom prst="rect">
                      <a:avLst/>
                    </a:prstGeom>
                    <a:noFill/>
                    <a:ln>
                      <a:noFill/>
                    </a:ln>
                  </pic:spPr>
                </pic:pic>
              </a:graphicData>
            </a:graphic>
          </wp:inline>
        </w:drawing>
      </w:r>
    </w:p>
    <w:p w14:paraId="46F24999" w14:textId="79322560" w:rsidR="00803DFB" w:rsidRDefault="00803DFB" w:rsidP="0055385F">
      <w:pPr>
        <w:pStyle w:val="BodyText"/>
        <w:spacing w:before="120"/>
        <w:rPr>
          <w:rFonts w:ascii="Times New Roman" w:hAnsi="Times New Roman"/>
          <w:szCs w:val="20"/>
        </w:rPr>
      </w:pPr>
      <w:r>
        <w:rPr>
          <w:rFonts w:ascii="Times New Roman" w:hAnsi="Times New Roman"/>
          <w:szCs w:val="20"/>
        </w:rPr>
        <w:t xml:space="preserve">Options 1 and 2 are equally flexible but option 2 has lower overhead. So, between these two options, option 2 should hence be preferred clearly. Option 3 on the other hand has the least amount of overhead, </w:t>
      </w:r>
      <w:r w:rsidR="004757D5">
        <w:rPr>
          <w:rFonts w:ascii="Times New Roman" w:hAnsi="Times New Roman"/>
          <w:szCs w:val="20"/>
        </w:rPr>
        <w:t>although it</w:t>
      </w:r>
      <w:r>
        <w:rPr>
          <w:rFonts w:ascii="Times New Roman" w:hAnsi="Times New Roman"/>
          <w:szCs w:val="20"/>
        </w:rPr>
        <w:t xml:space="preserve"> comes with the restriction that only one PDU session can support QoS flows that are subject to rate control. This may be a reasonable assumption in reality</w:t>
      </w:r>
      <w:r w:rsidR="004757D5">
        <w:rPr>
          <w:rFonts w:ascii="Times New Roman" w:hAnsi="Times New Roman"/>
          <w:szCs w:val="20"/>
        </w:rPr>
        <w:t xml:space="preserve"> though</w:t>
      </w:r>
      <w:r>
        <w:rPr>
          <w:rFonts w:ascii="Times New Roman" w:hAnsi="Times New Roman"/>
          <w:szCs w:val="20"/>
        </w:rPr>
        <w:t>. So, both options 2 and 3 can be considered</w:t>
      </w:r>
      <w:r w:rsidR="00012C20">
        <w:rPr>
          <w:rFonts w:ascii="Times New Roman" w:hAnsi="Times New Roman"/>
          <w:szCs w:val="20"/>
        </w:rPr>
        <w:t xml:space="preserve"> further</w:t>
      </w:r>
      <w:r>
        <w:rPr>
          <w:rFonts w:ascii="Times New Roman" w:hAnsi="Times New Roman"/>
          <w:szCs w:val="20"/>
        </w:rPr>
        <w:t xml:space="preserve">. </w:t>
      </w:r>
      <w:r w:rsidR="000E5736">
        <w:rPr>
          <w:rFonts w:ascii="Times New Roman" w:hAnsi="Times New Roman"/>
          <w:szCs w:val="20"/>
        </w:rPr>
        <w:t xml:space="preserve">Between these two options, option 3 has the smallest overhead. So, we propose to adopt this option. </w:t>
      </w:r>
    </w:p>
    <w:p w14:paraId="1C1D10FD" w14:textId="77777777" w:rsidR="00803DFB" w:rsidRDefault="00803DFB" w:rsidP="0055385F">
      <w:pPr>
        <w:pStyle w:val="BodyText"/>
        <w:spacing w:before="120"/>
        <w:rPr>
          <w:rFonts w:ascii="Times New Roman" w:hAnsi="Times New Roman"/>
          <w:szCs w:val="20"/>
        </w:rPr>
      </w:pPr>
      <w:r>
        <w:rPr>
          <w:rFonts w:ascii="Times New Roman" w:hAnsi="Times New Roman"/>
          <w:szCs w:val="20"/>
        </w:rPr>
        <w:t xml:space="preserve">Based on the above, the following proposal is made: </w:t>
      </w:r>
    </w:p>
    <w:p w14:paraId="680668A7" w14:textId="2C34E5B2" w:rsidR="000E5736" w:rsidRDefault="00803DFB" w:rsidP="0055385F">
      <w:pPr>
        <w:pStyle w:val="BodyText"/>
        <w:spacing w:before="120"/>
        <w:rPr>
          <w:rFonts w:ascii="Times New Roman" w:hAnsi="Times New Roman"/>
          <w:b/>
          <w:bCs/>
          <w:szCs w:val="20"/>
        </w:rPr>
      </w:pPr>
      <w:r w:rsidRPr="00803DFB">
        <w:rPr>
          <w:rFonts w:ascii="Times New Roman" w:hAnsi="Times New Roman"/>
          <w:b/>
          <w:bCs/>
          <w:szCs w:val="20"/>
        </w:rPr>
        <w:t>Proposal</w:t>
      </w:r>
      <w:r w:rsidR="000E5736">
        <w:rPr>
          <w:rFonts w:ascii="Times New Roman" w:hAnsi="Times New Roman"/>
          <w:b/>
          <w:bCs/>
          <w:szCs w:val="20"/>
        </w:rPr>
        <w:t xml:space="preserve"> 1</w:t>
      </w:r>
      <w:r w:rsidRPr="00803DFB">
        <w:rPr>
          <w:rFonts w:ascii="Times New Roman" w:hAnsi="Times New Roman"/>
          <w:b/>
          <w:bCs/>
          <w:szCs w:val="20"/>
        </w:rPr>
        <w:t xml:space="preserve">: </w:t>
      </w:r>
      <w:r w:rsidR="000E5736">
        <w:rPr>
          <w:rFonts w:ascii="Times New Roman" w:hAnsi="Times New Roman"/>
          <w:b/>
          <w:bCs/>
          <w:szCs w:val="20"/>
        </w:rPr>
        <w:t xml:space="preserve">The MAC CE for XR rate control includes just the QFI indicator as shown in the figure below: </w:t>
      </w:r>
    </w:p>
    <w:p w14:paraId="74407E4D" w14:textId="693A356C" w:rsidR="000E5736" w:rsidRDefault="000E5736" w:rsidP="000E5736">
      <w:pPr>
        <w:pStyle w:val="BodyText"/>
        <w:spacing w:before="120"/>
        <w:jc w:val="center"/>
        <w:rPr>
          <w:rFonts w:ascii="Times New Roman" w:hAnsi="Times New Roman"/>
          <w:b/>
          <w:bCs/>
          <w:szCs w:val="20"/>
        </w:rPr>
      </w:pPr>
      <w:r w:rsidRPr="000E5736">
        <w:rPr>
          <w:noProof/>
        </w:rPr>
        <w:drawing>
          <wp:inline distT="0" distB="0" distL="0" distR="0" wp14:anchorId="79206E56" wp14:editId="6C35CDFA">
            <wp:extent cx="2567406" cy="861060"/>
            <wp:effectExtent l="0" t="0" r="4445" b="0"/>
            <wp:docPr id="3234604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6022" cy="877365"/>
                    </a:xfrm>
                    <a:prstGeom prst="rect">
                      <a:avLst/>
                    </a:prstGeom>
                    <a:noFill/>
                    <a:ln>
                      <a:noFill/>
                    </a:ln>
                  </pic:spPr>
                </pic:pic>
              </a:graphicData>
            </a:graphic>
          </wp:inline>
        </w:drawing>
      </w:r>
    </w:p>
    <w:p w14:paraId="592BB2C9" w14:textId="194D1127" w:rsidR="000E5736" w:rsidRDefault="000E5736" w:rsidP="000E5736">
      <w:pPr>
        <w:pStyle w:val="BodyText"/>
        <w:spacing w:before="120"/>
        <w:rPr>
          <w:rFonts w:ascii="Times New Roman" w:hAnsi="Times New Roman"/>
          <w:b/>
          <w:bCs/>
          <w:szCs w:val="20"/>
        </w:rPr>
      </w:pPr>
      <w:r>
        <w:rPr>
          <w:rFonts w:ascii="Times New Roman" w:hAnsi="Times New Roman"/>
          <w:b/>
          <w:bCs/>
          <w:szCs w:val="20"/>
        </w:rPr>
        <w:t xml:space="preserve">Proposal 2: RRC </w:t>
      </w:r>
      <w:proofErr w:type="spellStart"/>
      <w:r>
        <w:rPr>
          <w:rFonts w:ascii="Times New Roman" w:hAnsi="Times New Roman"/>
          <w:b/>
          <w:bCs/>
          <w:szCs w:val="20"/>
        </w:rPr>
        <w:t>signalling</w:t>
      </w:r>
      <w:proofErr w:type="spellEnd"/>
      <w:r>
        <w:rPr>
          <w:rFonts w:ascii="Times New Roman" w:hAnsi="Times New Roman"/>
          <w:b/>
          <w:bCs/>
          <w:szCs w:val="20"/>
        </w:rPr>
        <w:t xml:space="preserve"> indicates which PDU session contains the QoS flows subject to rate control (if there is more than one PDU session)</w:t>
      </w:r>
    </w:p>
    <w:p w14:paraId="140D4A73" w14:textId="77777777" w:rsidR="00C444A6" w:rsidRDefault="00C444A6">
      <w:pPr>
        <w:pStyle w:val="BodyText"/>
        <w:spacing w:before="120"/>
        <w:rPr>
          <w:b/>
          <w:bCs/>
        </w:rPr>
      </w:pPr>
    </w:p>
    <w:p w14:paraId="7C2DF343" w14:textId="77777777" w:rsidR="00C444A6" w:rsidRDefault="00000000">
      <w:pPr>
        <w:pStyle w:val="Heading1"/>
        <w:spacing w:before="120" w:after="120"/>
        <w:ind w:left="0"/>
        <w:rPr>
          <w:rFonts w:eastAsia="SimSun"/>
        </w:rPr>
      </w:pPr>
      <w:r>
        <w:rPr>
          <w:rFonts w:eastAsia="SimSun"/>
        </w:rPr>
        <w:t>Conclusion</w:t>
      </w:r>
    </w:p>
    <w:p w14:paraId="34AC45CA" w14:textId="4F7D93EE" w:rsidR="00D12A04" w:rsidRDefault="00D12A04" w:rsidP="00D12A04">
      <w:pPr>
        <w:pStyle w:val="BodyText"/>
        <w:spacing w:before="120"/>
      </w:pPr>
      <w:r>
        <w:t xml:space="preserve">The following </w:t>
      </w:r>
      <w:r w:rsidR="00534B4D">
        <w:t xml:space="preserve">proposal is </w:t>
      </w:r>
      <w:r>
        <w:t xml:space="preserve">made in this contribution: </w:t>
      </w:r>
    </w:p>
    <w:p w14:paraId="04E24ABA" w14:textId="77777777" w:rsidR="00D12A04" w:rsidRPr="00D12A04" w:rsidRDefault="00D12A04" w:rsidP="00D12A04">
      <w:pPr>
        <w:pStyle w:val="BodyText"/>
        <w:spacing w:before="120"/>
      </w:pPr>
    </w:p>
    <w:p w14:paraId="7C2C529C" w14:textId="45683813" w:rsidR="000E5736" w:rsidRDefault="000E5736" w:rsidP="000E5736">
      <w:pPr>
        <w:pStyle w:val="BodyText"/>
        <w:spacing w:before="120"/>
        <w:rPr>
          <w:rFonts w:ascii="Times New Roman" w:hAnsi="Times New Roman"/>
          <w:b/>
          <w:bCs/>
          <w:szCs w:val="20"/>
        </w:rPr>
      </w:pPr>
      <w:r w:rsidRPr="00803DFB">
        <w:rPr>
          <w:rFonts w:ascii="Times New Roman" w:hAnsi="Times New Roman"/>
          <w:b/>
          <w:bCs/>
          <w:szCs w:val="20"/>
        </w:rPr>
        <w:t>Proposal</w:t>
      </w:r>
      <w:r>
        <w:rPr>
          <w:rFonts w:ascii="Times New Roman" w:hAnsi="Times New Roman"/>
          <w:b/>
          <w:bCs/>
          <w:szCs w:val="20"/>
        </w:rPr>
        <w:t xml:space="preserve"> 1</w:t>
      </w:r>
      <w:r w:rsidR="009F68B9">
        <w:rPr>
          <w:rFonts w:ascii="Times New Roman" w:hAnsi="Times New Roman"/>
          <w:b/>
          <w:bCs/>
          <w:szCs w:val="20"/>
        </w:rPr>
        <w:t xml:space="preserve"> (MAC-05, 06, 07, 11, 12)</w:t>
      </w:r>
      <w:r w:rsidRPr="00803DFB">
        <w:rPr>
          <w:rFonts w:ascii="Times New Roman" w:hAnsi="Times New Roman"/>
          <w:b/>
          <w:bCs/>
          <w:szCs w:val="20"/>
        </w:rPr>
        <w:t xml:space="preserve">: </w:t>
      </w:r>
      <w:r>
        <w:rPr>
          <w:rFonts w:ascii="Times New Roman" w:hAnsi="Times New Roman"/>
          <w:b/>
          <w:bCs/>
          <w:szCs w:val="20"/>
        </w:rPr>
        <w:t xml:space="preserve">The MAC CE for XR rate control includes just the QFI indicator as shown in the figure below (with the assumption that only one PDU session has QoS flows subject to rate control): </w:t>
      </w:r>
    </w:p>
    <w:p w14:paraId="4B6A1FC9" w14:textId="77777777" w:rsidR="000E5736" w:rsidRDefault="000E5736" w:rsidP="000E5736">
      <w:pPr>
        <w:pStyle w:val="BodyText"/>
        <w:spacing w:before="120"/>
        <w:jc w:val="center"/>
        <w:rPr>
          <w:rFonts w:ascii="Times New Roman" w:hAnsi="Times New Roman"/>
          <w:b/>
          <w:bCs/>
          <w:szCs w:val="20"/>
        </w:rPr>
      </w:pPr>
      <w:r w:rsidRPr="000E5736">
        <w:rPr>
          <w:noProof/>
        </w:rPr>
        <w:drawing>
          <wp:inline distT="0" distB="0" distL="0" distR="0" wp14:anchorId="0A453ECE" wp14:editId="1D871DDC">
            <wp:extent cx="2567406" cy="861060"/>
            <wp:effectExtent l="0" t="0" r="4445" b="0"/>
            <wp:docPr id="7577231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6022" cy="877365"/>
                    </a:xfrm>
                    <a:prstGeom prst="rect">
                      <a:avLst/>
                    </a:prstGeom>
                    <a:noFill/>
                    <a:ln>
                      <a:noFill/>
                    </a:ln>
                  </pic:spPr>
                </pic:pic>
              </a:graphicData>
            </a:graphic>
          </wp:inline>
        </w:drawing>
      </w:r>
    </w:p>
    <w:p w14:paraId="41523843" w14:textId="5A71E19C" w:rsidR="000E5736" w:rsidRDefault="000E5736" w:rsidP="000E5736">
      <w:pPr>
        <w:pStyle w:val="BodyText"/>
        <w:spacing w:before="120"/>
        <w:rPr>
          <w:rFonts w:ascii="Times New Roman" w:hAnsi="Times New Roman"/>
          <w:b/>
          <w:bCs/>
          <w:szCs w:val="20"/>
        </w:rPr>
      </w:pPr>
      <w:r>
        <w:rPr>
          <w:rFonts w:ascii="Times New Roman" w:hAnsi="Times New Roman"/>
          <w:b/>
          <w:bCs/>
          <w:szCs w:val="20"/>
        </w:rPr>
        <w:t>Proposal 2</w:t>
      </w:r>
      <w:r w:rsidR="009F68B9">
        <w:rPr>
          <w:rFonts w:ascii="Times New Roman" w:hAnsi="Times New Roman"/>
          <w:b/>
          <w:bCs/>
          <w:szCs w:val="20"/>
        </w:rPr>
        <w:t xml:space="preserve"> </w:t>
      </w:r>
      <w:r w:rsidR="009F68B9">
        <w:rPr>
          <w:rFonts w:ascii="Times New Roman" w:hAnsi="Times New Roman"/>
          <w:b/>
          <w:bCs/>
          <w:szCs w:val="20"/>
        </w:rPr>
        <w:t>(MAC-05, 06, 07, 09</w:t>
      </w:r>
      <w:r w:rsidR="009F68B9">
        <w:rPr>
          <w:rFonts w:ascii="Times New Roman" w:hAnsi="Times New Roman"/>
          <w:b/>
          <w:bCs/>
          <w:szCs w:val="20"/>
        </w:rPr>
        <w:t>, 11, 12</w:t>
      </w:r>
      <w:r w:rsidR="009F68B9">
        <w:rPr>
          <w:rFonts w:ascii="Times New Roman" w:hAnsi="Times New Roman"/>
          <w:b/>
          <w:bCs/>
          <w:szCs w:val="20"/>
        </w:rPr>
        <w:t>)</w:t>
      </w:r>
      <w:r>
        <w:rPr>
          <w:rFonts w:ascii="Times New Roman" w:hAnsi="Times New Roman"/>
          <w:b/>
          <w:bCs/>
          <w:szCs w:val="20"/>
        </w:rPr>
        <w:t xml:space="preserve">: RRC </w:t>
      </w:r>
      <w:proofErr w:type="spellStart"/>
      <w:r>
        <w:rPr>
          <w:rFonts w:ascii="Times New Roman" w:hAnsi="Times New Roman"/>
          <w:b/>
          <w:bCs/>
          <w:szCs w:val="20"/>
        </w:rPr>
        <w:t>signalling</w:t>
      </w:r>
      <w:proofErr w:type="spellEnd"/>
      <w:r>
        <w:rPr>
          <w:rFonts w:ascii="Times New Roman" w:hAnsi="Times New Roman"/>
          <w:b/>
          <w:bCs/>
          <w:szCs w:val="20"/>
        </w:rPr>
        <w:t xml:space="preserve"> indicates which PDU session contains the QoS flows subject to rate control (if there is more than one PDU session)</w:t>
      </w:r>
    </w:p>
    <w:p w14:paraId="673D9063" w14:textId="77777777" w:rsidR="00F112F3" w:rsidRDefault="00F112F3">
      <w:pPr>
        <w:pStyle w:val="BodyText"/>
        <w:spacing w:before="120"/>
        <w:rPr>
          <w:b/>
          <w:bCs/>
        </w:rPr>
      </w:pPr>
    </w:p>
    <w:p w14:paraId="4BC2D70A" w14:textId="77777777" w:rsidR="00C444A6" w:rsidRDefault="00000000">
      <w:pPr>
        <w:pStyle w:val="Heading1"/>
        <w:spacing w:before="120" w:after="120"/>
        <w:ind w:left="0"/>
        <w:rPr>
          <w:rFonts w:eastAsia="SimSun"/>
        </w:rPr>
      </w:pPr>
      <w:r>
        <w:rPr>
          <w:rFonts w:eastAsia="SimSun" w:hint="eastAsia"/>
        </w:rPr>
        <w:t>Reference</w:t>
      </w:r>
      <w:r>
        <w:rPr>
          <w:rFonts w:eastAsia="SimSun"/>
        </w:rPr>
        <w:t>s</w:t>
      </w:r>
    </w:p>
    <w:p w14:paraId="5310DED2" w14:textId="77777777" w:rsidR="00C444A6" w:rsidRDefault="00C444A6">
      <w:pPr>
        <w:pStyle w:val="References"/>
        <w:numPr>
          <w:ilvl w:val="0"/>
          <w:numId w:val="0"/>
        </w:numPr>
        <w:spacing w:before="120" w:after="120"/>
      </w:pPr>
    </w:p>
    <w:sectPr w:rsidR="00C444A6">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F4CBE" w14:textId="77777777" w:rsidR="00E42E44" w:rsidRDefault="00E42E44">
      <w:pPr>
        <w:spacing w:before="120" w:after="120" w:line="240" w:lineRule="auto"/>
      </w:pPr>
      <w:r>
        <w:separator/>
      </w:r>
    </w:p>
  </w:endnote>
  <w:endnote w:type="continuationSeparator" w:id="0">
    <w:p w14:paraId="19029696" w14:textId="77777777" w:rsidR="00E42E44" w:rsidRDefault="00E42E4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0DFD" w14:textId="77777777" w:rsidR="00C444A6" w:rsidRDefault="00C444A6">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774B2" w14:textId="77777777" w:rsidR="00C444A6"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03CDF85C" wp14:editId="0FBD9A39">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77D2240B" w14:textId="77777777" w:rsidR="00C444A6"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3CDF85C"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77D2240B" w14:textId="77777777" w:rsidR="00C444A6" w:rsidRDefault="00000000">
                    <w:pPr>
                      <w:pStyle w:val="Footer"/>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72F9A" w14:textId="77777777" w:rsidR="00C444A6" w:rsidRDefault="00C444A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C5E52" w14:textId="77777777" w:rsidR="00E42E44" w:rsidRDefault="00E42E44">
      <w:pPr>
        <w:spacing w:before="120" w:after="120"/>
      </w:pPr>
      <w:r>
        <w:separator/>
      </w:r>
    </w:p>
  </w:footnote>
  <w:footnote w:type="continuationSeparator" w:id="0">
    <w:p w14:paraId="1A0038DC" w14:textId="77777777" w:rsidR="00E42E44" w:rsidRDefault="00E42E44">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7C215" w14:textId="77777777" w:rsidR="00C444A6" w:rsidRDefault="00C444A6">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4E054" w14:textId="77777777" w:rsidR="00C444A6" w:rsidRDefault="00C444A6">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52DF7" w14:textId="77777777" w:rsidR="00C444A6" w:rsidRDefault="00C444A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7FC721C"/>
    <w:multiLevelType w:val="multilevel"/>
    <w:tmpl w:val="07FC72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15:restartNumberingAfterBreak="0">
    <w:nsid w:val="16503B2F"/>
    <w:multiLevelType w:val="multilevel"/>
    <w:tmpl w:val="16503B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4132752"/>
    <w:multiLevelType w:val="hybridMultilevel"/>
    <w:tmpl w:val="E27C5F0A"/>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2A56713"/>
    <w:multiLevelType w:val="hybridMultilevel"/>
    <w:tmpl w:val="0B0E6D02"/>
    <w:lvl w:ilvl="0" w:tplc="A6F2FD9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103"/>
        </w:tabs>
        <w:ind w:left="1103" w:hanging="360"/>
      </w:pPr>
      <w:rPr>
        <w:rFonts w:ascii="Symbol" w:hAnsi="Symbol" w:hint="default"/>
        <w:b/>
        <w:i w:val="0"/>
        <w:color w:val="auto"/>
        <w:sz w:val="22"/>
      </w:rPr>
    </w:lvl>
    <w:lvl w:ilvl="1">
      <w:start w:val="1"/>
      <w:numFmt w:val="bullet"/>
      <w:lvlText w:val="o"/>
      <w:lvlJc w:val="left"/>
      <w:pPr>
        <w:tabs>
          <w:tab w:val="left" w:pos="-1077"/>
        </w:tabs>
        <w:ind w:left="-1077" w:hanging="360"/>
      </w:pPr>
      <w:rPr>
        <w:rFonts w:ascii="Courier New" w:hAnsi="Courier New" w:cs="Courier New" w:hint="default"/>
      </w:rPr>
    </w:lvl>
    <w:lvl w:ilvl="2">
      <w:start w:val="1"/>
      <w:numFmt w:val="bullet"/>
      <w:lvlText w:val=""/>
      <w:lvlJc w:val="left"/>
      <w:pPr>
        <w:tabs>
          <w:tab w:val="left" w:pos="-357"/>
        </w:tabs>
        <w:ind w:left="-357" w:hanging="360"/>
      </w:pPr>
      <w:rPr>
        <w:rFonts w:ascii="Wingdings" w:hAnsi="Wingdings" w:hint="default"/>
      </w:rPr>
    </w:lvl>
    <w:lvl w:ilvl="3">
      <w:start w:val="1"/>
      <w:numFmt w:val="bullet"/>
      <w:lvlText w:val=""/>
      <w:lvlJc w:val="left"/>
      <w:pPr>
        <w:tabs>
          <w:tab w:val="left" w:pos="363"/>
        </w:tabs>
        <w:ind w:left="363" w:hanging="360"/>
      </w:pPr>
      <w:rPr>
        <w:rFonts w:ascii="Symbol" w:hAnsi="Symbol" w:hint="default"/>
      </w:rPr>
    </w:lvl>
    <w:lvl w:ilvl="4">
      <w:start w:val="1"/>
      <w:numFmt w:val="bullet"/>
      <w:lvlText w:val="o"/>
      <w:lvlJc w:val="left"/>
      <w:pPr>
        <w:tabs>
          <w:tab w:val="left" w:pos="1083"/>
        </w:tabs>
        <w:ind w:left="1083" w:hanging="360"/>
      </w:pPr>
      <w:rPr>
        <w:rFonts w:ascii="Courier New" w:hAnsi="Courier New" w:cs="Courier New" w:hint="default"/>
      </w:rPr>
    </w:lvl>
    <w:lvl w:ilvl="5">
      <w:start w:val="1"/>
      <w:numFmt w:val="bullet"/>
      <w:lvlText w:val=""/>
      <w:lvlJc w:val="left"/>
      <w:pPr>
        <w:tabs>
          <w:tab w:val="left" w:pos="1803"/>
        </w:tabs>
        <w:ind w:left="1803" w:hanging="360"/>
      </w:pPr>
      <w:rPr>
        <w:rFonts w:ascii="Wingdings" w:hAnsi="Wingdings" w:hint="default"/>
      </w:rPr>
    </w:lvl>
    <w:lvl w:ilvl="6">
      <w:start w:val="1"/>
      <w:numFmt w:val="bullet"/>
      <w:lvlText w:val=""/>
      <w:lvlJc w:val="left"/>
      <w:pPr>
        <w:tabs>
          <w:tab w:val="left" w:pos="2523"/>
        </w:tabs>
        <w:ind w:left="2523" w:hanging="360"/>
      </w:pPr>
      <w:rPr>
        <w:rFonts w:ascii="Symbol" w:hAnsi="Symbol" w:hint="default"/>
      </w:rPr>
    </w:lvl>
    <w:lvl w:ilvl="7">
      <w:start w:val="1"/>
      <w:numFmt w:val="bullet"/>
      <w:lvlText w:val="o"/>
      <w:lvlJc w:val="left"/>
      <w:pPr>
        <w:tabs>
          <w:tab w:val="left" w:pos="3243"/>
        </w:tabs>
        <w:ind w:left="3243" w:hanging="360"/>
      </w:pPr>
      <w:rPr>
        <w:rFonts w:ascii="Courier New" w:hAnsi="Courier New" w:cs="Courier New" w:hint="default"/>
      </w:rPr>
    </w:lvl>
    <w:lvl w:ilvl="8">
      <w:start w:val="1"/>
      <w:numFmt w:val="bullet"/>
      <w:lvlText w:val=""/>
      <w:lvlJc w:val="left"/>
      <w:pPr>
        <w:tabs>
          <w:tab w:val="left" w:pos="3963"/>
        </w:tabs>
        <w:ind w:left="3963" w:hanging="360"/>
      </w:pPr>
      <w:rPr>
        <w:rFonts w:ascii="Wingdings" w:hAnsi="Wingdings" w:hint="default"/>
      </w:rPr>
    </w:lvl>
  </w:abstractNum>
  <w:num w:numId="1" w16cid:durableId="1598362965">
    <w:abstractNumId w:val="3"/>
  </w:num>
  <w:num w:numId="2" w16cid:durableId="2047096370">
    <w:abstractNumId w:val="7"/>
  </w:num>
  <w:num w:numId="3" w16cid:durableId="1102723178">
    <w:abstractNumId w:val="0"/>
  </w:num>
  <w:num w:numId="4" w16cid:durableId="611982607">
    <w:abstractNumId w:val="1"/>
  </w:num>
  <w:num w:numId="5" w16cid:durableId="1167329975">
    <w:abstractNumId w:val="10"/>
  </w:num>
  <w:num w:numId="6" w16cid:durableId="242881733">
    <w:abstractNumId w:val="5"/>
  </w:num>
  <w:num w:numId="7" w16cid:durableId="640622469">
    <w:abstractNumId w:val="4"/>
  </w:num>
  <w:num w:numId="8" w16cid:durableId="1885673198">
    <w:abstractNumId w:val="2"/>
  </w:num>
  <w:num w:numId="9" w16cid:durableId="1878198924">
    <w:abstractNumId w:val="9"/>
  </w:num>
  <w:num w:numId="10" w16cid:durableId="665209222">
    <w:abstractNumId w:val="6"/>
  </w:num>
  <w:num w:numId="11" w16cid:durableId="3781707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C20"/>
    <w:rsid w:val="00031F56"/>
    <w:rsid w:val="00050423"/>
    <w:rsid w:val="00051F4E"/>
    <w:rsid w:val="000529AC"/>
    <w:rsid w:val="00071FB7"/>
    <w:rsid w:val="00072FB0"/>
    <w:rsid w:val="0007790D"/>
    <w:rsid w:val="00077A1A"/>
    <w:rsid w:val="00090D39"/>
    <w:rsid w:val="00093DF3"/>
    <w:rsid w:val="000A15BE"/>
    <w:rsid w:val="000A168E"/>
    <w:rsid w:val="000A4031"/>
    <w:rsid w:val="000B5297"/>
    <w:rsid w:val="000C1A96"/>
    <w:rsid w:val="000C1CDE"/>
    <w:rsid w:val="000C7E3D"/>
    <w:rsid w:val="000D0462"/>
    <w:rsid w:val="000D627E"/>
    <w:rsid w:val="000E2433"/>
    <w:rsid w:val="000E5736"/>
    <w:rsid w:val="000F28CA"/>
    <w:rsid w:val="001009B8"/>
    <w:rsid w:val="00103457"/>
    <w:rsid w:val="00103906"/>
    <w:rsid w:val="00120AF7"/>
    <w:rsid w:val="00142961"/>
    <w:rsid w:val="001470AA"/>
    <w:rsid w:val="00153BF7"/>
    <w:rsid w:val="00154DBD"/>
    <w:rsid w:val="0016113B"/>
    <w:rsid w:val="001632AB"/>
    <w:rsid w:val="00172A27"/>
    <w:rsid w:val="001754AE"/>
    <w:rsid w:val="0018654F"/>
    <w:rsid w:val="0018732E"/>
    <w:rsid w:val="00191912"/>
    <w:rsid w:val="00195F46"/>
    <w:rsid w:val="001A1539"/>
    <w:rsid w:val="001B3634"/>
    <w:rsid w:val="001C1894"/>
    <w:rsid w:val="001C196F"/>
    <w:rsid w:val="001D1287"/>
    <w:rsid w:val="001E0651"/>
    <w:rsid w:val="001E125B"/>
    <w:rsid w:val="001E262F"/>
    <w:rsid w:val="001F1BB1"/>
    <w:rsid w:val="001F2AF7"/>
    <w:rsid w:val="001F415E"/>
    <w:rsid w:val="001F6E58"/>
    <w:rsid w:val="0020406B"/>
    <w:rsid w:val="00212872"/>
    <w:rsid w:val="00216169"/>
    <w:rsid w:val="002240E1"/>
    <w:rsid w:val="00224A1A"/>
    <w:rsid w:val="00227DF5"/>
    <w:rsid w:val="002320CA"/>
    <w:rsid w:val="002401EC"/>
    <w:rsid w:val="00243B44"/>
    <w:rsid w:val="00244ABB"/>
    <w:rsid w:val="00244FC6"/>
    <w:rsid w:val="00247A67"/>
    <w:rsid w:val="00251814"/>
    <w:rsid w:val="00253F57"/>
    <w:rsid w:val="00256B05"/>
    <w:rsid w:val="00261BCE"/>
    <w:rsid w:val="00261C72"/>
    <w:rsid w:val="0026766E"/>
    <w:rsid w:val="00270F8C"/>
    <w:rsid w:val="002748A9"/>
    <w:rsid w:val="00277485"/>
    <w:rsid w:val="00282069"/>
    <w:rsid w:val="0029516D"/>
    <w:rsid w:val="00297949"/>
    <w:rsid w:val="002A3D98"/>
    <w:rsid w:val="002B12B6"/>
    <w:rsid w:val="002B402B"/>
    <w:rsid w:val="002B4661"/>
    <w:rsid w:val="002C43E0"/>
    <w:rsid w:val="002C4448"/>
    <w:rsid w:val="002C68AC"/>
    <w:rsid w:val="002C7CCD"/>
    <w:rsid w:val="002F0E7A"/>
    <w:rsid w:val="002F2535"/>
    <w:rsid w:val="002F5687"/>
    <w:rsid w:val="002F5A8D"/>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B6C"/>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BA3"/>
    <w:rsid w:val="003A1056"/>
    <w:rsid w:val="003A1DCE"/>
    <w:rsid w:val="003A4365"/>
    <w:rsid w:val="003A6BBE"/>
    <w:rsid w:val="003A7EAD"/>
    <w:rsid w:val="003B53DF"/>
    <w:rsid w:val="003D1DE1"/>
    <w:rsid w:val="003D44C6"/>
    <w:rsid w:val="003D5CFD"/>
    <w:rsid w:val="003E2C2B"/>
    <w:rsid w:val="003F7415"/>
    <w:rsid w:val="004003D2"/>
    <w:rsid w:val="00406983"/>
    <w:rsid w:val="00417B25"/>
    <w:rsid w:val="004209E1"/>
    <w:rsid w:val="0042238B"/>
    <w:rsid w:val="00427F73"/>
    <w:rsid w:val="00440E60"/>
    <w:rsid w:val="00450C17"/>
    <w:rsid w:val="004527B1"/>
    <w:rsid w:val="004545A5"/>
    <w:rsid w:val="004557D2"/>
    <w:rsid w:val="004608F6"/>
    <w:rsid w:val="00464D85"/>
    <w:rsid w:val="004724B4"/>
    <w:rsid w:val="00472B06"/>
    <w:rsid w:val="004757D5"/>
    <w:rsid w:val="00477655"/>
    <w:rsid w:val="00480405"/>
    <w:rsid w:val="0048120F"/>
    <w:rsid w:val="00482706"/>
    <w:rsid w:val="00490434"/>
    <w:rsid w:val="004A142B"/>
    <w:rsid w:val="004A2759"/>
    <w:rsid w:val="004A5D1D"/>
    <w:rsid w:val="004A699E"/>
    <w:rsid w:val="004B44A9"/>
    <w:rsid w:val="004C1A54"/>
    <w:rsid w:val="004D2637"/>
    <w:rsid w:val="004D6C78"/>
    <w:rsid w:val="004E6999"/>
    <w:rsid w:val="004F5994"/>
    <w:rsid w:val="00500F45"/>
    <w:rsid w:val="00503921"/>
    <w:rsid w:val="00507A00"/>
    <w:rsid w:val="005176E7"/>
    <w:rsid w:val="00523589"/>
    <w:rsid w:val="00523668"/>
    <w:rsid w:val="00523AD9"/>
    <w:rsid w:val="00523D5E"/>
    <w:rsid w:val="00527033"/>
    <w:rsid w:val="00531B5B"/>
    <w:rsid w:val="00532500"/>
    <w:rsid w:val="005349A5"/>
    <w:rsid w:val="00534B4D"/>
    <w:rsid w:val="005413AD"/>
    <w:rsid w:val="00541B22"/>
    <w:rsid w:val="00546436"/>
    <w:rsid w:val="00547723"/>
    <w:rsid w:val="0055385F"/>
    <w:rsid w:val="005644F6"/>
    <w:rsid w:val="00564BCB"/>
    <w:rsid w:val="00570231"/>
    <w:rsid w:val="005725AF"/>
    <w:rsid w:val="00572F6E"/>
    <w:rsid w:val="00574776"/>
    <w:rsid w:val="0058526A"/>
    <w:rsid w:val="00592D88"/>
    <w:rsid w:val="0059321F"/>
    <w:rsid w:val="00593818"/>
    <w:rsid w:val="005A05C6"/>
    <w:rsid w:val="005A0FE9"/>
    <w:rsid w:val="005B245F"/>
    <w:rsid w:val="005B4834"/>
    <w:rsid w:val="005B77A5"/>
    <w:rsid w:val="005C6B42"/>
    <w:rsid w:val="005D6A1C"/>
    <w:rsid w:val="005E2808"/>
    <w:rsid w:val="005E2C89"/>
    <w:rsid w:val="005F26E5"/>
    <w:rsid w:val="005F7062"/>
    <w:rsid w:val="00604404"/>
    <w:rsid w:val="006059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74C9A"/>
    <w:rsid w:val="00676C72"/>
    <w:rsid w:val="00680FFF"/>
    <w:rsid w:val="00681459"/>
    <w:rsid w:val="00691376"/>
    <w:rsid w:val="006922EF"/>
    <w:rsid w:val="00694FB9"/>
    <w:rsid w:val="00697125"/>
    <w:rsid w:val="006A2804"/>
    <w:rsid w:val="006B0580"/>
    <w:rsid w:val="006C2229"/>
    <w:rsid w:val="006C55B1"/>
    <w:rsid w:val="006C69C1"/>
    <w:rsid w:val="006D11DE"/>
    <w:rsid w:val="006D3D89"/>
    <w:rsid w:val="006E01C3"/>
    <w:rsid w:val="006E01CB"/>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37E00"/>
    <w:rsid w:val="007427BB"/>
    <w:rsid w:val="007440A2"/>
    <w:rsid w:val="00745143"/>
    <w:rsid w:val="00747C56"/>
    <w:rsid w:val="007501AC"/>
    <w:rsid w:val="00750EDD"/>
    <w:rsid w:val="00756124"/>
    <w:rsid w:val="00762F1B"/>
    <w:rsid w:val="0076682E"/>
    <w:rsid w:val="0077033A"/>
    <w:rsid w:val="0077581A"/>
    <w:rsid w:val="0077761A"/>
    <w:rsid w:val="00784828"/>
    <w:rsid w:val="00785A2A"/>
    <w:rsid w:val="00785DA6"/>
    <w:rsid w:val="00786A2C"/>
    <w:rsid w:val="00786F84"/>
    <w:rsid w:val="00787FA9"/>
    <w:rsid w:val="007A0CD8"/>
    <w:rsid w:val="007B0FD9"/>
    <w:rsid w:val="007B33D8"/>
    <w:rsid w:val="007B403E"/>
    <w:rsid w:val="007B447A"/>
    <w:rsid w:val="007B458B"/>
    <w:rsid w:val="007C4328"/>
    <w:rsid w:val="007C440F"/>
    <w:rsid w:val="007C47F6"/>
    <w:rsid w:val="007D2C32"/>
    <w:rsid w:val="007D4A27"/>
    <w:rsid w:val="007E4A23"/>
    <w:rsid w:val="007F39F4"/>
    <w:rsid w:val="00802A15"/>
    <w:rsid w:val="008036A8"/>
    <w:rsid w:val="00803DFB"/>
    <w:rsid w:val="00810C42"/>
    <w:rsid w:val="00816EF3"/>
    <w:rsid w:val="008226B2"/>
    <w:rsid w:val="008266C4"/>
    <w:rsid w:val="008412CD"/>
    <w:rsid w:val="00842BFF"/>
    <w:rsid w:val="0084332A"/>
    <w:rsid w:val="00847621"/>
    <w:rsid w:val="00852635"/>
    <w:rsid w:val="0085443B"/>
    <w:rsid w:val="00857E93"/>
    <w:rsid w:val="008652E8"/>
    <w:rsid w:val="00870679"/>
    <w:rsid w:val="00870E40"/>
    <w:rsid w:val="00881540"/>
    <w:rsid w:val="00886E49"/>
    <w:rsid w:val="00886EA7"/>
    <w:rsid w:val="00892B4C"/>
    <w:rsid w:val="00893268"/>
    <w:rsid w:val="0089344F"/>
    <w:rsid w:val="00894520"/>
    <w:rsid w:val="008A72B5"/>
    <w:rsid w:val="008B3130"/>
    <w:rsid w:val="008B363D"/>
    <w:rsid w:val="008B547D"/>
    <w:rsid w:val="008B5C48"/>
    <w:rsid w:val="008B7F10"/>
    <w:rsid w:val="008C0445"/>
    <w:rsid w:val="008C2278"/>
    <w:rsid w:val="008C7FE3"/>
    <w:rsid w:val="008D3ED9"/>
    <w:rsid w:val="008E1E4D"/>
    <w:rsid w:val="008F255E"/>
    <w:rsid w:val="008F3DC8"/>
    <w:rsid w:val="00901BD8"/>
    <w:rsid w:val="00903A35"/>
    <w:rsid w:val="00913703"/>
    <w:rsid w:val="009221EB"/>
    <w:rsid w:val="00922624"/>
    <w:rsid w:val="00923BDA"/>
    <w:rsid w:val="0093617A"/>
    <w:rsid w:val="009411A5"/>
    <w:rsid w:val="00942AEE"/>
    <w:rsid w:val="00946A7C"/>
    <w:rsid w:val="00946FAF"/>
    <w:rsid w:val="00950DB1"/>
    <w:rsid w:val="00952C83"/>
    <w:rsid w:val="00956A30"/>
    <w:rsid w:val="00957418"/>
    <w:rsid w:val="009610C6"/>
    <w:rsid w:val="0096194F"/>
    <w:rsid w:val="00963243"/>
    <w:rsid w:val="009648EE"/>
    <w:rsid w:val="00966E7D"/>
    <w:rsid w:val="00970630"/>
    <w:rsid w:val="00971A1F"/>
    <w:rsid w:val="009734B7"/>
    <w:rsid w:val="0097647B"/>
    <w:rsid w:val="00983FE2"/>
    <w:rsid w:val="00986B97"/>
    <w:rsid w:val="00994A41"/>
    <w:rsid w:val="009A380A"/>
    <w:rsid w:val="009A3A36"/>
    <w:rsid w:val="009A4F31"/>
    <w:rsid w:val="009B05AD"/>
    <w:rsid w:val="009B18A3"/>
    <w:rsid w:val="009B5557"/>
    <w:rsid w:val="009D5B5E"/>
    <w:rsid w:val="009D6400"/>
    <w:rsid w:val="009D7770"/>
    <w:rsid w:val="009D7C12"/>
    <w:rsid w:val="009F65A8"/>
    <w:rsid w:val="009F68B9"/>
    <w:rsid w:val="009F700D"/>
    <w:rsid w:val="009F7747"/>
    <w:rsid w:val="00A00A06"/>
    <w:rsid w:val="00A02219"/>
    <w:rsid w:val="00A05A33"/>
    <w:rsid w:val="00A14F22"/>
    <w:rsid w:val="00A171E5"/>
    <w:rsid w:val="00A17810"/>
    <w:rsid w:val="00A212A7"/>
    <w:rsid w:val="00A21523"/>
    <w:rsid w:val="00A26720"/>
    <w:rsid w:val="00A33BD9"/>
    <w:rsid w:val="00A40C3F"/>
    <w:rsid w:val="00A4182C"/>
    <w:rsid w:val="00A438B0"/>
    <w:rsid w:val="00A50B2A"/>
    <w:rsid w:val="00A51740"/>
    <w:rsid w:val="00A54A48"/>
    <w:rsid w:val="00A551E2"/>
    <w:rsid w:val="00A56849"/>
    <w:rsid w:val="00A656E5"/>
    <w:rsid w:val="00A809DB"/>
    <w:rsid w:val="00A83C13"/>
    <w:rsid w:val="00A86EB5"/>
    <w:rsid w:val="00A91773"/>
    <w:rsid w:val="00A92854"/>
    <w:rsid w:val="00A92CA8"/>
    <w:rsid w:val="00A967AB"/>
    <w:rsid w:val="00AA1889"/>
    <w:rsid w:val="00AB0AAF"/>
    <w:rsid w:val="00AB251B"/>
    <w:rsid w:val="00AB5108"/>
    <w:rsid w:val="00AB6D34"/>
    <w:rsid w:val="00AC1ED1"/>
    <w:rsid w:val="00AC24BF"/>
    <w:rsid w:val="00AD56C4"/>
    <w:rsid w:val="00AD7FE5"/>
    <w:rsid w:val="00AE5530"/>
    <w:rsid w:val="00AF050A"/>
    <w:rsid w:val="00B031EF"/>
    <w:rsid w:val="00B07839"/>
    <w:rsid w:val="00B11405"/>
    <w:rsid w:val="00B12602"/>
    <w:rsid w:val="00B138E9"/>
    <w:rsid w:val="00B179E3"/>
    <w:rsid w:val="00B20F6D"/>
    <w:rsid w:val="00B21480"/>
    <w:rsid w:val="00B245AA"/>
    <w:rsid w:val="00B24F76"/>
    <w:rsid w:val="00B26F06"/>
    <w:rsid w:val="00B34FF8"/>
    <w:rsid w:val="00B43645"/>
    <w:rsid w:val="00B5181A"/>
    <w:rsid w:val="00B52BE9"/>
    <w:rsid w:val="00B54730"/>
    <w:rsid w:val="00B56091"/>
    <w:rsid w:val="00B60F6C"/>
    <w:rsid w:val="00B663FA"/>
    <w:rsid w:val="00B71A78"/>
    <w:rsid w:val="00B72848"/>
    <w:rsid w:val="00B731A6"/>
    <w:rsid w:val="00B76824"/>
    <w:rsid w:val="00B768A1"/>
    <w:rsid w:val="00B81C3C"/>
    <w:rsid w:val="00B87AB7"/>
    <w:rsid w:val="00B96E00"/>
    <w:rsid w:val="00BA72B7"/>
    <w:rsid w:val="00BA7674"/>
    <w:rsid w:val="00BB08C4"/>
    <w:rsid w:val="00BC0005"/>
    <w:rsid w:val="00BD49FA"/>
    <w:rsid w:val="00BD6A5A"/>
    <w:rsid w:val="00BD72A5"/>
    <w:rsid w:val="00BE22EC"/>
    <w:rsid w:val="00BE5D22"/>
    <w:rsid w:val="00BE7970"/>
    <w:rsid w:val="00BF19D3"/>
    <w:rsid w:val="00BF526E"/>
    <w:rsid w:val="00BF743C"/>
    <w:rsid w:val="00C00906"/>
    <w:rsid w:val="00C014A9"/>
    <w:rsid w:val="00C07C74"/>
    <w:rsid w:val="00C12784"/>
    <w:rsid w:val="00C16276"/>
    <w:rsid w:val="00C2142E"/>
    <w:rsid w:val="00C22FCF"/>
    <w:rsid w:val="00C2334E"/>
    <w:rsid w:val="00C2713A"/>
    <w:rsid w:val="00C34FD0"/>
    <w:rsid w:val="00C40AA1"/>
    <w:rsid w:val="00C444A6"/>
    <w:rsid w:val="00C5791E"/>
    <w:rsid w:val="00C625E3"/>
    <w:rsid w:val="00C65B20"/>
    <w:rsid w:val="00C67AE3"/>
    <w:rsid w:val="00C76271"/>
    <w:rsid w:val="00C829B3"/>
    <w:rsid w:val="00C855D2"/>
    <w:rsid w:val="00C925E7"/>
    <w:rsid w:val="00C93053"/>
    <w:rsid w:val="00CA03EE"/>
    <w:rsid w:val="00CA09F5"/>
    <w:rsid w:val="00CA152B"/>
    <w:rsid w:val="00CA6BF4"/>
    <w:rsid w:val="00CB03D7"/>
    <w:rsid w:val="00CB046A"/>
    <w:rsid w:val="00CB7FB3"/>
    <w:rsid w:val="00CC01B0"/>
    <w:rsid w:val="00CC11A8"/>
    <w:rsid w:val="00CD5E4A"/>
    <w:rsid w:val="00CD62C4"/>
    <w:rsid w:val="00CD71E9"/>
    <w:rsid w:val="00CE32ED"/>
    <w:rsid w:val="00CF0062"/>
    <w:rsid w:val="00CF25E8"/>
    <w:rsid w:val="00CF4293"/>
    <w:rsid w:val="00D06F00"/>
    <w:rsid w:val="00D0740C"/>
    <w:rsid w:val="00D1043B"/>
    <w:rsid w:val="00D12A04"/>
    <w:rsid w:val="00D14578"/>
    <w:rsid w:val="00D1491D"/>
    <w:rsid w:val="00D17260"/>
    <w:rsid w:val="00D22C2E"/>
    <w:rsid w:val="00D23862"/>
    <w:rsid w:val="00D24465"/>
    <w:rsid w:val="00D27BF8"/>
    <w:rsid w:val="00D30D70"/>
    <w:rsid w:val="00D30FF6"/>
    <w:rsid w:val="00D471A9"/>
    <w:rsid w:val="00D54F1B"/>
    <w:rsid w:val="00D57D7B"/>
    <w:rsid w:val="00D60DA9"/>
    <w:rsid w:val="00D714E2"/>
    <w:rsid w:val="00D7289E"/>
    <w:rsid w:val="00D82CF5"/>
    <w:rsid w:val="00D838A0"/>
    <w:rsid w:val="00D84961"/>
    <w:rsid w:val="00D871C4"/>
    <w:rsid w:val="00D8785A"/>
    <w:rsid w:val="00D91349"/>
    <w:rsid w:val="00D92E3B"/>
    <w:rsid w:val="00D93BC0"/>
    <w:rsid w:val="00D97876"/>
    <w:rsid w:val="00DB0E95"/>
    <w:rsid w:val="00DB12AD"/>
    <w:rsid w:val="00DC0C4F"/>
    <w:rsid w:val="00DC1213"/>
    <w:rsid w:val="00DC6E1E"/>
    <w:rsid w:val="00DC70F6"/>
    <w:rsid w:val="00DC724A"/>
    <w:rsid w:val="00DD5F49"/>
    <w:rsid w:val="00DF18CA"/>
    <w:rsid w:val="00DF4482"/>
    <w:rsid w:val="00E01355"/>
    <w:rsid w:val="00E05651"/>
    <w:rsid w:val="00E068AA"/>
    <w:rsid w:val="00E258FC"/>
    <w:rsid w:val="00E30348"/>
    <w:rsid w:val="00E339EA"/>
    <w:rsid w:val="00E42E44"/>
    <w:rsid w:val="00E51594"/>
    <w:rsid w:val="00E52879"/>
    <w:rsid w:val="00E552BE"/>
    <w:rsid w:val="00E55791"/>
    <w:rsid w:val="00E56340"/>
    <w:rsid w:val="00E67009"/>
    <w:rsid w:val="00E704FD"/>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47A7"/>
    <w:rsid w:val="00EE1EE7"/>
    <w:rsid w:val="00EF4A28"/>
    <w:rsid w:val="00EF6AF5"/>
    <w:rsid w:val="00F019E9"/>
    <w:rsid w:val="00F03760"/>
    <w:rsid w:val="00F05DFC"/>
    <w:rsid w:val="00F072E8"/>
    <w:rsid w:val="00F112F3"/>
    <w:rsid w:val="00F143A1"/>
    <w:rsid w:val="00F1480F"/>
    <w:rsid w:val="00F179F3"/>
    <w:rsid w:val="00F2072B"/>
    <w:rsid w:val="00F263C6"/>
    <w:rsid w:val="00F34277"/>
    <w:rsid w:val="00F346E9"/>
    <w:rsid w:val="00F4372E"/>
    <w:rsid w:val="00F453FE"/>
    <w:rsid w:val="00F527F0"/>
    <w:rsid w:val="00F624B9"/>
    <w:rsid w:val="00F71825"/>
    <w:rsid w:val="00F80169"/>
    <w:rsid w:val="00F81514"/>
    <w:rsid w:val="00F82200"/>
    <w:rsid w:val="00F85FAD"/>
    <w:rsid w:val="00F86352"/>
    <w:rsid w:val="00F87040"/>
    <w:rsid w:val="00F870DD"/>
    <w:rsid w:val="00F95A32"/>
    <w:rsid w:val="00FA1D8A"/>
    <w:rsid w:val="00FA3FD9"/>
    <w:rsid w:val="00FA6AF6"/>
    <w:rsid w:val="00FA7D65"/>
    <w:rsid w:val="00FB2EE6"/>
    <w:rsid w:val="00FB593A"/>
    <w:rsid w:val="00FC1AD0"/>
    <w:rsid w:val="00FC20D8"/>
    <w:rsid w:val="00FC3D4E"/>
    <w:rsid w:val="00FC6D99"/>
    <w:rsid w:val="00FC72FB"/>
    <w:rsid w:val="00FD162B"/>
    <w:rsid w:val="00FD7CC0"/>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2369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3103F7"/>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0B4D87"/>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73E6A"/>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D02E02"/>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540CA8"/>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469E4"/>
    <w:rsid w:val="408563A3"/>
    <w:rsid w:val="40A1164F"/>
    <w:rsid w:val="40AD7C5B"/>
    <w:rsid w:val="40CD5F0B"/>
    <w:rsid w:val="40DD4729"/>
    <w:rsid w:val="40EB7E0B"/>
    <w:rsid w:val="40F1349D"/>
    <w:rsid w:val="411E2BE4"/>
    <w:rsid w:val="4136428A"/>
    <w:rsid w:val="413A144A"/>
    <w:rsid w:val="41694287"/>
    <w:rsid w:val="416948A9"/>
    <w:rsid w:val="416B194D"/>
    <w:rsid w:val="418A6870"/>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9FA5FE9"/>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B24A1B"/>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BC6407"/>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815CD"/>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82E8A"/>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13384"/>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10DEA"/>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807F41"/>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5B6313"/>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9E2999"/>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0BDAD"/>
  <w15:docId w15:val="{99933C74-80B6-4952-A611-69539B3EE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rPr>
      <w:rFonts w:ascii="Times" w:hAnsi="Times"/>
      <w:szCs w:val="24"/>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clear" w:pos="1103"/>
        <w:tab w:val="left" w:pos="1619"/>
        <w:tab w:val="left" w:pos="2363"/>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qFormat/>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customStyle="1" w:styleId="Revision3">
    <w:name w:val="Revision3"/>
    <w:hidden/>
    <w:uiPriority w:val="99"/>
    <w:unhideWhenUsed/>
    <w:qFormat/>
    <w:rPr>
      <w:kern w:val="2"/>
      <w:sz w:val="21"/>
      <w:lang w:val="en-US" w:eastAsia="zh-CN"/>
    </w:rPr>
  </w:style>
  <w:style w:type="paragraph" w:styleId="Revision">
    <w:name w:val="Revision"/>
    <w:hidden/>
    <w:uiPriority w:val="99"/>
    <w:unhideWhenUsed/>
    <w:rsid w:val="0077033A"/>
    <w:rPr>
      <w:kern w:val="2"/>
      <w:sz w:val="21"/>
      <w:lang w:val="en-US" w:eastAsia="zh-CN"/>
    </w:rPr>
  </w:style>
  <w:style w:type="character" w:customStyle="1" w:styleId="B1Zchn">
    <w:name w:val="B1 Zchn"/>
    <w:link w:val="B1"/>
    <w:qFormat/>
    <w:rsid w:val="00D97876"/>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1919992">
      <w:bodyDiv w:val="1"/>
      <w:marLeft w:val="0"/>
      <w:marRight w:val="0"/>
      <w:marTop w:val="0"/>
      <w:marBottom w:val="0"/>
      <w:divBdr>
        <w:top w:val="none" w:sz="0" w:space="0" w:color="auto"/>
        <w:left w:val="none" w:sz="0" w:space="0" w:color="auto"/>
        <w:bottom w:val="none" w:sz="0" w:space="0" w:color="auto"/>
        <w:right w:val="none" w:sz="0" w:space="0" w:color="auto"/>
      </w:divBdr>
    </w:div>
    <w:div w:id="18697553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562</Words>
  <Characters>3206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ZTE(Eswar)</cp:lastModifiedBy>
  <cp:revision>7</cp:revision>
  <dcterms:created xsi:type="dcterms:W3CDTF">2025-05-07T14:45:00Z</dcterms:created>
  <dcterms:modified xsi:type="dcterms:W3CDTF">2025-05-09T08:56:00Z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A34D89D033914DC682940FE50DBD81D4</vt:lpwstr>
  </property>
</Properties>
</file>